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50E5257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90</w:t>
      </w:r>
      <w:r w:rsidR="00B313BA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FA3693">
        <w:rPr>
          <w:rFonts w:ascii="Arial" w:hAnsi="Arial" w:cs="Arial"/>
          <w:b/>
          <w:sz w:val="24"/>
          <w:szCs w:val="28"/>
          <w:lang w:val="en-US"/>
        </w:rPr>
        <w:t>04346</w:t>
      </w:r>
    </w:p>
    <w:p w14:paraId="60407F1B" w14:textId="39525CD4" w:rsidR="00CC6F36" w:rsidRPr="00CC6F36" w:rsidRDefault="00B313BA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Xian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 xml:space="preserve">April </w:t>
      </w:r>
      <w:r w:rsidR="007F4A6D">
        <w:rPr>
          <w:rFonts w:ascii="Arial" w:hAnsi="Arial" w:cs="Arial"/>
          <w:b/>
          <w:sz w:val="24"/>
          <w:szCs w:val="28"/>
          <w:lang w:val="en-US"/>
        </w:rPr>
        <w:t>8-</w:t>
      </w:r>
      <w:r>
        <w:rPr>
          <w:rFonts w:ascii="Arial" w:hAnsi="Arial" w:cs="Arial"/>
          <w:b/>
          <w:sz w:val="24"/>
          <w:szCs w:val="28"/>
          <w:lang w:val="en-US"/>
        </w:rPr>
        <w:t>12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4C07A925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AA5EC6">
        <w:rPr>
          <w:rFonts w:ascii="Arial" w:hAnsi="Arial" w:cs="Arial"/>
          <w:sz w:val="22"/>
          <w:szCs w:val="22"/>
          <w:lang w:val="en-US"/>
        </w:rPr>
        <w:t>6.1</w:t>
      </w:r>
      <w:r w:rsidR="00B313BA">
        <w:rPr>
          <w:rFonts w:ascii="Arial" w:hAnsi="Arial" w:cs="Arial"/>
          <w:sz w:val="22"/>
          <w:szCs w:val="22"/>
          <w:lang w:val="en-US"/>
        </w:rPr>
        <w:t>0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7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B313BA">
        <w:rPr>
          <w:rFonts w:ascii="Arial" w:hAnsi="Arial" w:cs="Arial"/>
          <w:sz w:val="22"/>
          <w:szCs w:val="22"/>
          <w:lang w:val="en-US"/>
        </w:rPr>
        <w:t>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2E69182F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7E56C1" w:rsidRPr="007E56C1">
        <w:rPr>
          <w:rFonts w:ascii="Arial" w:hAnsi="Arial" w:cs="Arial"/>
          <w:sz w:val="22"/>
          <w:szCs w:val="22"/>
        </w:rPr>
        <w:t>Analysis of RRC based BWP switching delay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EB6EA13" w14:textId="7AD9B69D" w:rsidR="005B4917" w:rsidRDefault="002202E8" w:rsidP="008F549F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C53527">
        <w:rPr>
          <w:sz w:val="22"/>
          <w:szCs w:val="22"/>
        </w:rPr>
        <w:t xml:space="preserve">previous </w:t>
      </w:r>
      <w:r w:rsidR="005B4917">
        <w:rPr>
          <w:sz w:val="22"/>
          <w:szCs w:val="22"/>
        </w:rPr>
        <w:t>RAN4 meeting</w:t>
      </w:r>
      <w:r w:rsidR="001550D1">
        <w:rPr>
          <w:sz w:val="22"/>
          <w:szCs w:val="22"/>
        </w:rPr>
        <w:t xml:space="preserve"> a WF on RRC based BWP switching requirements </w:t>
      </w:r>
      <w:r w:rsidR="001418A7">
        <w:rPr>
          <w:sz w:val="22"/>
          <w:szCs w:val="22"/>
        </w:rPr>
        <w:t>was approved</w:t>
      </w:r>
      <w:r w:rsidR="002F5C50">
        <w:rPr>
          <w:sz w:val="22"/>
          <w:szCs w:val="22"/>
        </w:rPr>
        <w:t xml:space="preserve"> [1]</w:t>
      </w:r>
      <w:r w:rsidR="001418A7">
        <w:rPr>
          <w:sz w:val="22"/>
          <w:szCs w:val="22"/>
        </w:rPr>
        <w:t xml:space="preserve">. </w:t>
      </w:r>
      <w:r w:rsidR="002F5C50">
        <w:rPr>
          <w:sz w:val="22"/>
          <w:szCs w:val="22"/>
        </w:rPr>
        <w:t xml:space="preserve">Another WF on different </w:t>
      </w:r>
      <w:r w:rsidR="00293463">
        <w:rPr>
          <w:sz w:val="22"/>
          <w:szCs w:val="22"/>
        </w:rPr>
        <w:t xml:space="preserve">scenarios </w:t>
      </w:r>
      <w:proofErr w:type="spellStart"/>
      <w:r w:rsidR="00293463">
        <w:rPr>
          <w:sz w:val="22"/>
          <w:szCs w:val="22"/>
        </w:rPr>
        <w:t>wrt</w:t>
      </w:r>
      <w:proofErr w:type="spellEnd"/>
      <w:r w:rsidR="00293463">
        <w:rPr>
          <w:sz w:val="22"/>
          <w:szCs w:val="22"/>
        </w:rPr>
        <w:t xml:space="preserve"> the carrier bandwidths of different SCS (before and after BWP switching) was approved [2]. RAN4 has not yet agreed on any requirement for RRC based BWP switching. However according to the agreement captured in the editor’s note in section 8.6.3</w:t>
      </w:r>
      <w:r w:rsidR="00DF30FE">
        <w:rPr>
          <w:sz w:val="22"/>
          <w:szCs w:val="22"/>
        </w:rPr>
        <w:t xml:space="preserve"> </w:t>
      </w:r>
      <w:r w:rsidR="00293463">
        <w:rPr>
          <w:sz w:val="22"/>
          <w:szCs w:val="22"/>
        </w:rPr>
        <w:t xml:space="preserve">of TS 38.133 only </w:t>
      </w:r>
      <w:r w:rsidR="000617B0">
        <w:rPr>
          <w:sz w:val="22"/>
          <w:szCs w:val="22"/>
        </w:rPr>
        <w:t>one or two sets of requirements shall be specified:</w:t>
      </w:r>
    </w:p>
    <w:p w14:paraId="1DE1C745" w14:textId="2EC03229" w:rsidR="00E35DB0" w:rsidRDefault="00A10B53" w:rsidP="000617B0">
      <w:pPr>
        <w:pBdr>
          <w:top w:val="single" w:sz="4" w:space="1" w:color="auto"/>
          <w:bottom w:val="single" w:sz="4" w:space="1" w:color="auto"/>
        </w:pBdr>
        <w:spacing w:before="240" w:after="0"/>
        <w:rPr>
          <w:sz w:val="22"/>
          <w:szCs w:val="22"/>
        </w:rPr>
      </w:pPr>
      <w:r w:rsidRPr="00A10B53">
        <w:rPr>
          <w:i/>
          <w:sz w:val="22"/>
          <w:szCs w:val="22"/>
        </w:rPr>
        <w:t xml:space="preserve">Editor’s Note: </w:t>
      </w:r>
      <w:proofErr w:type="spellStart"/>
      <w:r w:rsidRPr="00A10B53">
        <w:rPr>
          <w:i/>
          <w:sz w:val="22"/>
          <w:szCs w:val="22"/>
        </w:rPr>
        <w:t>TBWPswitchDelayRRC</w:t>
      </w:r>
      <w:proofErr w:type="spellEnd"/>
      <w:r w:rsidRPr="00A10B53">
        <w:rPr>
          <w:i/>
          <w:sz w:val="22"/>
          <w:szCs w:val="22"/>
        </w:rPr>
        <w:t xml:space="preserve"> is going to be defined based one of the following options: Option 1) single requirement based on the worst scenario, Option 2) two sets of </w:t>
      </w:r>
      <w:proofErr w:type="gramStart"/>
      <w:r w:rsidRPr="00A10B53">
        <w:rPr>
          <w:i/>
          <w:sz w:val="22"/>
          <w:szCs w:val="22"/>
        </w:rPr>
        <w:t>requirement</w:t>
      </w:r>
      <w:proofErr w:type="gramEnd"/>
      <w:r w:rsidRPr="00A10B53">
        <w:rPr>
          <w:i/>
          <w:sz w:val="22"/>
          <w:szCs w:val="22"/>
        </w:rPr>
        <w:t xml:space="preserve">. One set of </w:t>
      </w:r>
      <w:proofErr w:type="gramStart"/>
      <w:r w:rsidRPr="00A10B53">
        <w:rPr>
          <w:i/>
          <w:sz w:val="22"/>
          <w:szCs w:val="22"/>
        </w:rPr>
        <w:t>requirement</w:t>
      </w:r>
      <w:proofErr w:type="gramEnd"/>
      <w:r w:rsidRPr="00A10B53">
        <w:rPr>
          <w:i/>
          <w:sz w:val="22"/>
          <w:szCs w:val="22"/>
        </w:rPr>
        <w:t xml:space="preserve"> would be same as option1 and the other requirement might be tightened</w:t>
      </w:r>
      <w:r w:rsidRPr="00A10B53">
        <w:rPr>
          <w:sz w:val="22"/>
          <w:szCs w:val="22"/>
        </w:rPr>
        <w:t>.</w:t>
      </w:r>
    </w:p>
    <w:p w14:paraId="2A3ECEAB" w14:textId="40C9386B" w:rsidR="00B50BD8" w:rsidRDefault="005833C2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="00CC6F36" w:rsidRPr="00CC6F36">
        <w:rPr>
          <w:sz w:val="22"/>
          <w:szCs w:val="22"/>
        </w:rPr>
        <w:t xml:space="preserve">paper we </w:t>
      </w:r>
      <w:r w:rsidR="005B4917">
        <w:rPr>
          <w:sz w:val="22"/>
          <w:szCs w:val="22"/>
        </w:rPr>
        <w:t xml:space="preserve">analyse </w:t>
      </w:r>
      <w:r w:rsidR="000617B0">
        <w:rPr>
          <w:sz w:val="22"/>
          <w:szCs w:val="22"/>
        </w:rPr>
        <w:t xml:space="preserve">the RRC based BWP delay </w:t>
      </w:r>
      <w:r w:rsidR="005B4917">
        <w:rPr>
          <w:sz w:val="22"/>
          <w:szCs w:val="22"/>
        </w:rPr>
        <w:t>requirements</w:t>
      </w:r>
      <w:r w:rsidR="000617B0">
        <w:rPr>
          <w:sz w:val="22"/>
          <w:szCs w:val="22"/>
        </w:rPr>
        <w:t xml:space="preserve"> in the light of earlier discussions and agreements</w:t>
      </w:r>
      <w:r w:rsidR="005B4917">
        <w:rPr>
          <w:sz w:val="22"/>
          <w:szCs w:val="22"/>
        </w:rPr>
        <w:t xml:space="preserve">. </w:t>
      </w:r>
    </w:p>
    <w:p w14:paraId="468B41F3" w14:textId="04CDC363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770C60">
        <w:t xml:space="preserve">BWP Switching Delay </w:t>
      </w:r>
      <w:r w:rsidR="00033D21">
        <w:t>Requirements</w:t>
      </w:r>
    </w:p>
    <w:p w14:paraId="6338FEE4" w14:textId="3FA2AFBD" w:rsidR="00DC3A4C" w:rsidRPr="00462935" w:rsidRDefault="00996A59" w:rsidP="000617B0">
      <w:pPr>
        <w:pStyle w:val="BodyText"/>
        <w:rPr>
          <w:sz w:val="22"/>
          <w:szCs w:val="22"/>
        </w:rPr>
      </w:pPr>
      <w:r w:rsidRPr="00462935">
        <w:rPr>
          <w:sz w:val="22"/>
          <w:szCs w:val="22"/>
        </w:rPr>
        <w:t xml:space="preserve">The RRC based BWP switching delay is defined as the </w:t>
      </w:r>
      <w:r w:rsidR="00E049A4" w:rsidRPr="00462935">
        <w:rPr>
          <w:sz w:val="22"/>
          <w:szCs w:val="22"/>
        </w:rPr>
        <w:t>duration comprising:</w:t>
      </w:r>
    </w:p>
    <w:p w14:paraId="4875D5AB" w14:textId="77777777" w:rsidR="00E049A4" w:rsidRPr="00462935" w:rsidRDefault="00DC3A4C" w:rsidP="00462935">
      <w:pPr>
        <w:pStyle w:val="BodyText"/>
        <w:spacing w:before="240" w:after="360"/>
        <w:jc w:val="center"/>
        <w:rPr>
          <w:sz w:val="22"/>
          <w:szCs w:val="22"/>
          <w:lang w:val="en-US" w:eastAsia="zh-CN"/>
        </w:rPr>
      </w:pP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Pr="00462935">
        <w:rPr>
          <w:sz w:val="22"/>
          <w:szCs w:val="22"/>
          <w:lang w:val="en-US" w:eastAsia="zh-CN"/>
        </w:rPr>
        <w:t xml:space="preserve"> +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</w:p>
    <w:p w14:paraId="7506BD8C" w14:textId="200878B6" w:rsidR="00DC3A4C" w:rsidRPr="00462935" w:rsidRDefault="00FB50CA" w:rsidP="000617B0">
      <w:pPr>
        <w:pStyle w:val="BodyTex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</w:t>
      </w:r>
      <w:r w:rsidR="00DC3A4C" w:rsidRPr="00462935">
        <w:rPr>
          <w:sz w:val="22"/>
          <w:szCs w:val="22"/>
          <w:lang w:val="en-US" w:eastAsia="zh-CN"/>
        </w:rPr>
        <w:t xml:space="preserve">here </w:t>
      </w:r>
      <w:proofErr w:type="spellStart"/>
      <w:r w:rsidR="00DC3A4C" w:rsidRPr="00462935">
        <w:rPr>
          <w:sz w:val="22"/>
          <w:szCs w:val="22"/>
          <w:lang w:val="en-US" w:eastAsia="zh-CN"/>
        </w:rPr>
        <w:t>T</w:t>
      </w:r>
      <w:r w:rsidR="00DC3A4C"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="00DC3A4C" w:rsidRPr="00462935">
        <w:rPr>
          <w:sz w:val="22"/>
          <w:szCs w:val="22"/>
          <w:vertAlign w:val="subscript"/>
          <w:lang w:val="en-US" w:eastAsia="zh-CN"/>
        </w:rPr>
        <w:t xml:space="preserve"> </w:t>
      </w:r>
      <w:r w:rsidR="00DC3A4C" w:rsidRPr="00462935">
        <w:rPr>
          <w:sz w:val="22"/>
          <w:szCs w:val="22"/>
          <w:lang w:val="en-US" w:eastAsia="zh-CN"/>
        </w:rPr>
        <w:t>is the RRC procedure delay in slots defined in clause 12 in TS 38.331</w:t>
      </w:r>
      <w:r w:rsidR="00462935" w:rsidRPr="00462935">
        <w:rPr>
          <w:sz w:val="22"/>
          <w:szCs w:val="22"/>
          <w:lang w:val="en-US" w:eastAsia="zh-CN"/>
        </w:rPr>
        <w:t>.</w:t>
      </w:r>
    </w:p>
    <w:p w14:paraId="5DC2514A" w14:textId="7C606C56" w:rsidR="00462935" w:rsidRPr="00444BE6" w:rsidRDefault="00462935" w:rsidP="00444BE6">
      <w:pPr>
        <w:pStyle w:val="BodyText"/>
        <w:spacing w:before="240" w:after="0"/>
        <w:rPr>
          <w:sz w:val="22"/>
          <w:szCs w:val="22"/>
        </w:rPr>
      </w:pPr>
      <w:r w:rsidRPr="00462935">
        <w:rPr>
          <w:sz w:val="22"/>
          <w:szCs w:val="22"/>
        </w:rPr>
        <w:t xml:space="preserve">RAN4 </w:t>
      </w:r>
      <w:proofErr w:type="gramStart"/>
      <w:r w:rsidRPr="00462935">
        <w:rPr>
          <w:sz w:val="22"/>
          <w:szCs w:val="22"/>
        </w:rPr>
        <w:t>has to</w:t>
      </w:r>
      <w:proofErr w:type="gramEnd"/>
      <w:r w:rsidRPr="00462935">
        <w:rPr>
          <w:sz w:val="22"/>
          <w:szCs w:val="22"/>
        </w:rPr>
        <w:t xml:space="preserve"> specify the delay,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  <w:r w:rsidR="00444BE6">
        <w:rPr>
          <w:sz w:val="22"/>
          <w:szCs w:val="22"/>
          <w:lang w:val="en-US" w:eastAsia="zh-CN"/>
        </w:rPr>
        <w:t xml:space="preserve">. </w:t>
      </w:r>
    </w:p>
    <w:p w14:paraId="6FA0F2B1" w14:textId="36E71233" w:rsidR="00B31194" w:rsidRPr="00C35C7E" w:rsidRDefault="000617B0" w:rsidP="00C35C7E">
      <w:pPr>
        <w:pStyle w:val="BodyText"/>
        <w:spacing w:before="240"/>
        <w:rPr>
          <w:sz w:val="22"/>
          <w:szCs w:val="22"/>
        </w:rPr>
      </w:pPr>
      <w:r w:rsidRPr="00462935">
        <w:rPr>
          <w:sz w:val="22"/>
          <w:szCs w:val="22"/>
        </w:rPr>
        <w:t xml:space="preserve">In the last meeting </w:t>
      </w:r>
      <w:r w:rsidR="00451663" w:rsidRPr="00462935">
        <w:rPr>
          <w:sz w:val="22"/>
          <w:szCs w:val="22"/>
        </w:rPr>
        <w:t>several contributions addressed the core requirements for RRC based switching delay [</w:t>
      </w:r>
      <w:r w:rsidR="00CE73DC" w:rsidRPr="00462935">
        <w:rPr>
          <w:sz w:val="22"/>
          <w:szCs w:val="22"/>
        </w:rPr>
        <w:t>3-7</w:t>
      </w:r>
      <w:r w:rsidR="00451663" w:rsidRPr="00462935">
        <w:rPr>
          <w:sz w:val="22"/>
          <w:szCs w:val="22"/>
        </w:rPr>
        <w:t>].</w:t>
      </w:r>
      <w:r w:rsidR="00CE73DC" w:rsidRPr="00462935">
        <w:rPr>
          <w:sz w:val="22"/>
          <w:szCs w:val="22"/>
        </w:rPr>
        <w:t xml:space="preserve"> </w:t>
      </w:r>
      <w:r w:rsidR="0092710E">
        <w:rPr>
          <w:sz w:val="22"/>
          <w:szCs w:val="22"/>
        </w:rPr>
        <w:t xml:space="preserve">Among the two cases [1] under consideration, case 2 obviously requires considerable </w:t>
      </w:r>
      <w:r w:rsidR="00C40DE8">
        <w:rPr>
          <w:sz w:val="22"/>
          <w:szCs w:val="22"/>
        </w:rPr>
        <w:t xml:space="preserve">processing and therefore longer delay. The </w:t>
      </w:r>
      <w:r w:rsidR="00A76F94">
        <w:rPr>
          <w:sz w:val="22"/>
          <w:szCs w:val="22"/>
        </w:rPr>
        <w:t xml:space="preserve">proposed BWP switching delay requirement vary from </w:t>
      </w:r>
      <w:r w:rsidR="001137A9">
        <w:rPr>
          <w:sz w:val="22"/>
          <w:szCs w:val="22"/>
        </w:rPr>
        <w:t xml:space="preserve">less than 1 </w:t>
      </w:r>
      <w:proofErr w:type="spellStart"/>
      <w:r w:rsidR="001137A9">
        <w:rPr>
          <w:sz w:val="22"/>
          <w:szCs w:val="22"/>
        </w:rPr>
        <w:t>ms</w:t>
      </w:r>
      <w:proofErr w:type="spellEnd"/>
      <w:r w:rsidR="001137A9">
        <w:rPr>
          <w:sz w:val="22"/>
          <w:szCs w:val="22"/>
        </w:rPr>
        <w:t xml:space="preserve"> to 10 </w:t>
      </w:r>
      <w:proofErr w:type="spellStart"/>
      <w:r w:rsidR="001137A9">
        <w:rPr>
          <w:sz w:val="22"/>
          <w:szCs w:val="22"/>
        </w:rPr>
        <w:t>ms</w:t>
      </w:r>
      <w:proofErr w:type="spellEnd"/>
      <w:r w:rsidR="001137A9">
        <w:rPr>
          <w:sz w:val="22"/>
          <w:szCs w:val="22"/>
        </w:rPr>
        <w:t xml:space="preserve">. </w:t>
      </w:r>
      <w:r w:rsidR="00B74B1D">
        <w:rPr>
          <w:sz w:val="22"/>
          <w:szCs w:val="22"/>
        </w:rPr>
        <w:t xml:space="preserve">In our view the BWP switching in case 2 (configuring new BWP) </w:t>
      </w:r>
      <w:r w:rsidR="00317CC8">
        <w:rPr>
          <w:sz w:val="22"/>
          <w:szCs w:val="22"/>
        </w:rPr>
        <w:t xml:space="preserve">has some similarity but is still not </w:t>
      </w:r>
      <w:proofErr w:type="spellStart"/>
      <w:r w:rsidR="00317CC8">
        <w:rPr>
          <w:sz w:val="22"/>
          <w:szCs w:val="22"/>
        </w:rPr>
        <w:t>identifical</w:t>
      </w:r>
      <w:proofErr w:type="spellEnd"/>
      <w:r w:rsidR="00317CC8">
        <w:rPr>
          <w:sz w:val="22"/>
          <w:szCs w:val="22"/>
        </w:rPr>
        <w:t xml:space="preserve"> to handover since in the former case the serving cell does not change.</w:t>
      </w:r>
      <w:r w:rsidR="00B64BE9">
        <w:rPr>
          <w:sz w:val="22"/>
          <w:szCs w:val="22"/>
        </w:rPr>
        <w:t xml:space="preserve"> As comprise we propose that one set of requirement</w:t>
      </w:r>
      <w:r w:rsidR="008E4994">
        <w:rPr>
          <w:sz w:val="22"/>
          <w:szCs w:val="22"/>
        </w:rPr>
        <w:t xml:space="preserve">s </w:t>
      </w:r>
      <w:proofErr w:type="gramStart"/>
      <w:r w:rsidR="00B64BE9">
        <w:rPr>
          <w:sz w:val="22"/>
          <w:szCs w:val="22"/>
        </w:rPr>
        <w:t>in order to</w:t>
      </w:r>
      <w:proofErr w:type="gramEnd"/>
      <w:r w:rsidR="00B64BE9">
        <w:rPr>
          <w:sz w:val="22"/>
          <w:szCs w:val="22"/>
        </w:rPr>
        <w:t xml:space="preserve"> 5 </w:t>
      </w:r>
      <w:proofErr w:type="spellStart"/>
      <w:r w:rsidR="00B64BE9">
        <w:rPr>
          <w:sz w:val="22"/>
          <w:szCs w:val="22"/>
        </w:rPr>
        <w:t>ms</w:t>
      </w:r>
      <w:proofErr w:type="spellEnd"/>
      <w:r w:rsidR="00B64BE9">
        <w:rPr>
          <w:sz w:val="22"/>
          <w:szCs w:val="22"/>
        </w:rPr>
        <w:t xml:space="preserve"> is defined </w:t>
      </w:r>
      <w:r w:rsidR="007F7FA5">
        <w:rPr>
          <w:sz w:val="22"/>
          <w:szCs w:val="22"/>
        </w:rPr>
        <w:t xml:space="preserve">to </w:t>
      </w:r>
      <w:r w:rsidR="00B64BE9">
        <w:rPr>
          <w:sz w:val="22"/>
          <w:szCs w:val="22"/>
        </w:rPr>
        <w:t xml:space="preserve">cover both cases. </w:t>
      </w:r>
      <w:r w:rsidR="008E4994">
        <w:rPr>
          <w:sz w:val="22"/>
          <w:szCs w:val="22"/>
        </w:rPr>
        <w:t xml:space="preserve">This requirement is applicable for the case when the </w:t>
      </w:r>
      <w:r w:rsidR="00AF2319">
        <w:rPr>
          <w:sz w:val="22"/>
          <w:szCs w:val="22"/>
        </w:rPr>
        <w:t xml:space="preserve">UE does not need to perform AGC due to the BWP switching. This situation occurs when the carrier </w:t>
      </w:r>
      <w:r w:rsidR="002D0733">
        <w:rPr>
          <w:sz w:val="22"/>
          <w:szCs w:val="22"/>
        </w:rPr>
        <w:t>BW</w:t>
      </w:r>
      <w:r w:rsidR="00AF2319">
        <w:rPr>
          <w:sz w:val="22"/>
          <w:szCs w:val="22"/>
        </w:rPr>
        <w:t xml:space="preserve"> of the SCS before the BWP switching at least partially overlaps with the carrier </w:t>
      </w:r>
      <w:r w:rsidR="002D0733">
        <w:rPr>
          <w:sz w:val="22"/>
          <w:szCs w:val="22"/>
        </w:rPr>
        <w:t>BW</w:t>
      </w:r>
      <w:r w:rsidR="00AF2319">
        <w:rPr>
          <w:sz w:val="22"/>
          <w:szCs w:val="22"/>
        </w:rPr>
        <w:t xml:space="preserve"> of th</w:t>
      </w:r>
      <w:r w:rsidR="002D0733">
        <w:rPr>
          <w:sz w:val="22"/>
          <w:szCs w:val="22"/>
        </w:rPr>
        <w:t xml:space="preserve">e SCS after the BWP switching. </w:t>
      </w:r>
      <w:r w:rsidR="00A63DE3">
        <w:rPr>
          <w:sz w:val="22"/>
          <w:szCs w:val="22"/>
        </w:rPr>
        <w:t xml:space="preserve">As shown in the </w:t>
      </w:r>
      <w:r w:rsidR="00C35C7E">
        <w:rPr>
          <w:sz w:val="22"/>
          <w:szCs w:val="22"/>
        </w:rPr>
        <w:t xml:space="preserve">RRC </w:t>
      </w:r>
      <w:r w:rsidR="00A63DE3">
        <w:rPr>
          <w:sz w:val="22"/>
          <w:szCs w:val="22"/>
        </w:rPr>
        <w:t xml:space="preserve">IE </w:t>
      </w:r>
      <w:r w:rsidR="00C35C7E">
        <w:rPr>
          <w:sz w:val="22"/>
          <w:szCs w:val="22"/>
        </w:rPr>
        <w:t xml:space="preserve">below that each SCS is associated with the carrier bandwidth. </w:t>
      </w:r>
    </w:p>
    <w:p w14:paraId="0F056EC7" w14:textId="77777777" w:rsidR="00B31194" w:rsidRPr="00B31194" w:rsidRDefault="00B31194" w:rsidP="00A63DE3">
      <w:pPr>
        <w:keepNext/>
        <w:keepLines/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" w:name="_Toc535261560"/>
      <w:r w:rsidRPr="00B31194">
        <w:rPr>
          <w:rFonts w:ascii="Arial" w:hAnsi="Arial"/>
          <w:sz w:val="24"/>
          <w:lang w:eastAsia="x-none"/>
        </w:rPr>
        <w:t>–</w:t>
      </w:r>
      <w:r w:rsidRPr="00B31194">
        <w:rPr>
          <w:rFonts w:ascii="Arial" w:hAnsi="Arial"/>
          <w:sz w:val="24"/>
          <w:lang w:eastAsia="x-none"/>
        </w:rPr>
        <w:tab/>
      </w:r>
      <w:r w:rsidRPr="00B31194">
        <w:rPr>
          <w:rFonts w:ascii="Arial" w:hAnsi="Arial"/>
          <w:i/>
          <w:sz w:val="24"/>
          <w:lang w:eastAsia="x-none"/>
        </w:rPr>
        <w:t>SCS-</w:t>
      </w:r>
      <w:proofErr w:type="spellStart"/>
      <w:r w:rsidRPr="00B31194">
        <w:rPr>
          <w:rFonts w:ascii="Arial" w:hAnsi="Arial"/>
          <w:i/>
          <w:sz w:val="24"/>
          <w:lang w:eastAsia="x-none"/>
        </w:rPr>
        <w:t>SpecificCarrier</w:t>
      </w:r>
      <w:bookmarkEnd w:id="2"/>
      <w:proofErr w:type="spellEnd"/>
    </w:p>
    <w:p w14:paraId="5E7782CF" w14:textId="77777777" w:rsidR="00B31194" w:rsidRPr="00B31194" w:rsidRDefault="00B31194" w:rsidP="00B3119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31194">
        <w:rPr>
          <w:lang w:eastAsia="ja-JP"/>
        </w:rPr>
        <w:t xml:space="preserve">The IE </w:t>
      </w:r>
      <w:r w:rsidRPr="00B31194">
        <w:rPr>
          <w:i/>
          <w:lang w:eastAsia="ja-JP"/>
        </w:rPr>
        <w:t>SCS-</w:t>
      </w:r>
      <w:proofErr w:type="spellStart"/>
      <w:r w:rsidRPr="00B31194">
        <w:rPr>
          <w:i/>
          <w:lang w:eastAsia="ja-JP"/>
        </w:rPr>
        <w:t>SpecificCarrier</w:t>
      </w:r>
      <w:proofErr w:type="spellEnd"/>
      <w:r w:rsidRPr="00B31194">
        <w:rPr>
          <w:lang w:eastAsia="ja-JP"/>
        </w:rPr>
        <w:t xml:space="preserve"> provides parameters determining the location and width of the actual carrier or the carrier bandwidth. It is defined specifically for a numerology (subcarrier spacing (SCS)) and in relation (frequency offset) to Point A.</w:t>
      </w:r>
    </w:p>
    <w:p w14:paraId="14DBB238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SCS-SpecificCarrier ::=             </w:t>
      </w:r>
      <w:r w:rsidRPr="00B3119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119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50C7AA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offsetToCarrier                     </w:t>
      </w:r>
      <w:r w:rsidRPr="00B3119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1194">
        <w:rPr>
          <w:rFonts w:ascii="Courier New" w:hAnsi="Courier New"/>
          <w:noProof/>
          <w:sz w:val="16"/>
          <w:lang w:eastAsia="en-GB"/>
        </w:rPr>
        <w:t xml:space="preserve"> (0..2199),</w:t>
      </w:r>
    </w:p>
    <w:p w14:paraId="75089CDF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subcarrierSpacing                   SubcarrierSpacing,</w:t>
      </w:r>
    </w:p>
    <w:p w14:paraId="6677083A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carrierBandwidth                    </w:t>
      </w:r>
      <w:r w:rsidRPr="00B3119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1194">
        <w:rPr>
          <w:rFonts w:ascii="Courier New" w:hAnsi="Courier New"/>
          <w:noProof/>
          <w:sz w:val="16"/>
          <w:lang w:eastAsia="en-GB"/>
        </w:rPr>
        <w:t xml:space="preserve"> (1..maxNrofPhysicalResourceBlocks),</w:t>
      </w:r>
    </w:p>
    <w:p w14:paraId="7F838497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38287CB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71A06929" w14:textId="77777777" w:rsidR="00B31194" w:rsidRPr="00B31194" w:rsidRDefault="00B31194" w:rsidP="00B311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txDirectCurrentLocation-v1530   </w:t>
      </w:r>
      <w:r w:rsidRPr="00B3119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1194">
        <w:rPr>
          <w:rFonts w:ascii="Courier New" w:hAnsi="Courier New"/>
          <w:noProof/>
          <w:sz w:val="16"/>
          <w:lang w:eastAsia="en-GB"/>
        </w:rPr>
        <w:t xml:space="preserve"> (0..4095)                                       </w:t>
      </w:r>
      <w:r w:rsidRPr="00B3119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1194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B3119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8F60ACC" w14:textId="3C538A83" w:rsidR="00B31194" w:rsidRPr="00B31194" w:rsidRDefault="00B31194" w:rsidP="00A63DE3">
      <w:pPr>
        <w:pBdr>
          <w:bottom w:val="single" w:sz="4" w:space="1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119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D8013D4" w14:textId="77777777" w:rsidR="00B31194" w:rsidRPr="00B31194" w:rsidRDefault="00B31194" w:rsidP="00B311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33FDF54" w14:textId="149D9357" w:rsidR="005D5D90" w:rsidRPr="00565F08" w:rsidRDefault="00C35C7E" w:rsidP="007F7FA5">
      <w:pPr>
        <w:spacing w:after="120"/>
        <w:rPr>
          <w:sz w:val="22"/>
          <w:szCs w:val="22"/>
        </w:rPr>
      </w:pPr>
      <w:r w:rsidRPr="00C35C7E">
        <w:rPr>
          <w:sz w:val="22"/>
          <w:szCs w:val="22"/>
        </w:rPr>
        <w:t xml:space="preserve">On the other </w:t>
      </w:r>
      <w:proofErr w:type="gramStart"/>
      <w:r w:rsidRPr="00C35C7E">
        <w:rPr>
          <w:sz w:val="22"/>
          <w:szCs w:val="22"/>
        </w:rPr>
        <w:t>hand</w:t>
      </w:r>
      <w:proofErr w:type="gramEnd"/>
      <w:r w:rsidRPr="00C35C7E">
        <w:rPr>
          <w:sz w:val="22"/>
          <w:szCs w:val="22"/>
        </w:rPr>
        <w:t xml:space="preserve"> when the </w:t>
      </w:r>
      <w:r>
        <w:rPr>
          <w:sz w:val="22"/>
          <w:szCs w:val="22"/>
        </w:rPr>
        <w:t xml:space="preserve">carrier BW of the SCS before the BWP switching </w:t>
      </w:r>
      <w:r w:rsidR="001E09D8">
        <w:rPr>
          <w:sz w:val="22"/>
          <w:szCs w:val="22"/>
        </w:rPr>
        <w:t>does not</w:t>
      </w:r>
      <w:r>
        <w:rPr>
          <w:sz w:val="22"/>
          <w:szCs w:val="22"/>
        </w:rPr>
        <w:t xml:space="preserve"> overlap with the carrier BW of the SCS after the BWP switching</w:t>
      </w:r>
      <w:r w:rsidR="001E09D8">
        <w:rPr>
          <w:sz w:val="22"/>
          <w:szCs w:val="22"/>
        </w:rPr>
        <w:t xml:space="preserve"> then the UE needs to perform AGC </w:t>
      </w:r>
      <w:r w:rsidR="00944CBC">
        <w:rPr>
          <w:sz w:val="22"/>
          <w:szCs w:val="22"/>
        </w:rPr>
        <w:t xml:space="preserve">setting </w:t>
      </w:r>
      <w:r w:rsidR="001E09D8">
        <w:rPr>
          <w:sz w:val="22"/>
          <w:szCs w:val="22"/>
        </w:rPr>
        <w:t>on the new carrier BW</w:t>
      </w:r>
      <w:r>
        <w:rPr>
          <w:sz w:val="22"/>
          <w:szCs w:val="22"/>
        </w:rPr>
        <w:t xml:space="preserve">. </w:t>
      </w:r>
      <w:r w:rsidR="00C75553">
        <w:rPr>
          <w:sz w:val="22"/>
          <w:szCs w:val="22"/>
        </w:rPr>
        <w:t>In this case the UE needs at least one SMTC window for setting its AGC.</w:t>
      </w:r>
      <w:r w:rsidR="00944CBC">
        <w:rPr>
          <w:sz w:val="22"/>
          <w:szCs w:val="22"/>
        </w:rPr>
        <w:t xml:space="preserve"> </w:t>
      </w:r>
      <w:proofErr w:type="gramStart"/>
      <w:r w:rsidR="00944CBC">
        <w:rPr>
          <w:sz w:val="22"/>
          <w:szCs w:val="22"/>
        </w:rPr>
        <w:t>Therefore</w:t>
      </w:r>
      <w:proofErr w:type="gramEnd"/>
      <w:r w:rsidR="00944CBC">
        <w:rPr>
          <w:sz w:val="22"/>
          <w:szCs w:val="22"/>
        </w:rPr>
        <w:t xml:space="preserve"> the total BWP switching delay can be: </w:t>
      </w:r>
      <w:r w:rsidR="00565F08">
        <w:rPr>
          <w:sz w:val="22"/>
          <w:szCs w:val="22"/>
        </w:rPr>
        <w:t xml:space="preserve">5 </w:t>
      </w:r>
      <w:proofErr w:type="spellStart"/>
      <w:r w:rsidR="00565F08">
        <w:rPr>
          <w:sz w:val="22"/>
          <w:szCs w:val="22"/>
        </w:rPr>
        <w:t>ms</w:t>
      </w:r>
      <w:proofErr w:type="spellEnd"/>
      <w:r w:rsidR="00565F08">
        <w:rPr>
          <w:sz w:val="22"/>
          <w:szCs w:val="22"/>
        </w:rPr>
        <w:t xml:space="preserve"> + </w:t>
      </w:r>
      <w:proofErr w:type="spellStart"/>
      <w:r w:rsidR="00565F08">
        <w:rPr>
          <w:sz w:val="22"/>
          <w:szCs w:val="22"/>
        </w:rPr>
        <w:t>T</w:t>
      </w:r>
      <w:r w:rsidR="00565F08" w:rsidRPr="00565F08">
        <w:rPr>
          <w:sz w:val="22"/>
          <w:szCs w:val="22"/>
          <w:vertAlign w:val="subscript"/>
        </w:rPr>
        <w:t>SMTC_period</w:t>
      </w:r>
      <w:proofErr w:type="spellEnd"/>
      <w:r w:rsidR="00565F08">
        <w:rPr>
          <w:sz w:val="22"/>
          <w:szCs w:val="22"/>
        </w:rPr>
        <w:t>.</w:t>
      </w:r>
    </w:p>
    <w:p w14:paraId="52AC59B9" w14:textId="55EF471A" w:rsidR="00A57781" w:rsidRDefault="00CA4CFC" w:rsidP="0004704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7F7FA5">
        <w:rPr>
          <w:rFonts w:ascii="Times New Roman" w:hAnsi="Times New Roman"/>
          <w:b/>
          <w:szCs w:val="22"/>
        </w:rPr>
        <w:t xml:space="preserve">Proposal # </w:t>
      </w:r>
      <w:r w:rsidR="00565F08" w:rsidRPr="007F7FA5">
        <w:rPr>
          <w:rFonts w:ascii="Times New Roman" w:hAnsi="Times New Roman"/>
          <w:b/>
          <w:szCs w:val="22"/>
        </w:rPr>
        <w:t>1</w:t>
      </w:r>
      <w:r w:rsidRPr="007F7FA5">
        <w:rPr>
          <w:rFonts w:ascii="Times New Roman" w:hAnsi="Times New Roman"/>
          <w:szCs w:val="22"/>
        </w:rPr>
        <w:t xml:space="preserve">: </w:t>
      </w:r>
      <w:r w:rsidR="007F7FA5" w:rsidRPr="007F7FA5">
        <w:rPr>
          <w:rFonts w:ascii="Times New Roman" w:hAnsi="Times New Roman"/>
          <w:szCs w:val="22"/>
        </w:rPr>
        <w:t>If the carrier BW of the SCS before the BWP switching at least partially overlaps with the carrier BW of the SCS after the BWP switching</w:t>
      </w:r>
      <w:r w:rsidR="007F7FA5">
        <w:rPr>
          <w:rFonts w:ascii="Times New Roman" w:hAnsi="Times New Roman"/>
          <w:szCs w:val="22"/>
        </w:rPr>
        <w:t xml:space="preserve"> then:</w:t>
      </w:r>
      <w:r w:rsidR="007F7FA5" w:rsidRPr="007F7FA5">
        <w:rPr>
          <w:rFonts w:ascii="Times New Roman" w:hAnsi="Times New Roman"/>
          <w:szCs w:val="22"/>
          <w:lang w:eastAsia="zh-CN"/>
        </w:rPr>
        <w:t xml:space="preserve"> </w:t>
      </w:r>
      <w:proofErr w:type="spellStart"/>
      <w:r w:rsidR="007F7FA5" w:rsidRPr="007F7FA5">
        <w:rPr>
          <w:rFonts w:ascii="Times New Roman" w:hAnsi="Times New Roman"/>
          <w:szCs w:val="22"/>
          <w:lang w:eastAsia="zh-CN"/>
        </w:rPr>
        <w:t>T</w:t>
      </w:r>
      <w:r w:rsidR="007F7FA5" w:rsidRPr="007F7FA5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="007F7FA5" w:rsidRPr="007F7FA5">
        <w:rPr>
          <w:rFonts w:ascii="Times New Roman" w:hAnsi="Times New Roman"/>
          <w:szCs w:val="22"/>
        </w:rPr>
        <w:t xml:space="preserve"> = 5 </w:t>
      </w:r>
      <w:proofErr w:type="spellStart"/>
      <w:r w:rsidR="007F7FA5" w:rsidRPr="007F7FA5">
        <w:rPr>
          <w:rFonts w:ascii="Times New Roman" w:hAnsi="Times New Roman"/>
          <w:szCs w:val="22"/>
        </w:rPr>
        <w:t>ms</w:t>
      </w:r>
      <w:r w:rsidR="007F7FA5">
        <w:rPr>
          <w:rFonts w:ascii="Times New Roman" w:hAnsi="Times New Roman"/>
          <w:szCs w:val="22"/>
        </w:rPr>
        <w:t>.</w:t>
      </w:r>
      <w:proofErr w:type="spellEnd"/>
    </w:p>
    <w:p w14:paraId="5787A15C" w14:textId="2334FCF7" w:rsidR="007F7FA5" w:rsidRPr="007F7FA5" w:rsidRDefault="007F7FA5" w:rsidP="007F7FA5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7F7FA5">
        <w:rPr>
          <w:rFonts w:ascii="Times New Roman" w:hAnsi="Times New Roman"/>
          <w:b/>
          <w:szCs w:val="22"/>
        </w:rPr>
        <w:t xml:space="preserve">Proposal # </w:t>
      </w:r>
      <w:r>
        <w:rPr>
          <w:rFonts w:ascii="Times New Roman" w:hAnsi="Times New Roman"/>
          <w:b/>
          <w:szCs w:val="22"/>
        </w:rPr>
        <w:t>2</w:t>
      </w:r>
      <w:r w:rsidRPr="007F7FA5">
        <w:rPr>
          <w:rFonts w:ascii="Times New Roman" w:hAnsi="Times New Roman"/>
          <w:szCs w:val="22"/>
        </w:rPr>
        <w:t xml:space="preserve">: If the carrier BW of the SCS before the BWP switching </w:t>
      </w:r>
      <w:r>
        <w:rPr>
          <w:rFonts w:ascii="Times New Roman" w:hAnsi="Times New Roman"/>
          <w:szCs w:val="22"/>
        </w:rPr>
        <w:t>does not</w:t>
      </w:r>
      <w:r w:rsidRPr="007F7FA5">
        <w:rPr>
          <w:rFonts w:ascii="Times New Roman" w:hAnsi="Times New Roman"/>
          <w:szCs w:val="22"/>
        </w:rPr>
        <w:t xml:space="preserve"> overlap with the carrier BW of the SCS after the BWP switching</w:t>
      </w:r>
      <w:r>
        <w:rPr>
          <w:rFonts w:ascii="Times New Roman" w:hAnsi="Times New Roman"/>
          <w:szCs w:val="22"/>
        </w:rPr>
        <w:t xml:space="preserve"> then:</w:t>
      </w:r>
      <w:r w:rsidRPr="007F7FA5">
        <w:rPr>
          <w:rFonts w:ascii="Times New Roman" w:hAnsi="Times New Roman"/>
          <w:szCs w:val="22"/>
          <w:lang w:eastAsia="zh-CN"/>
        </w:rPr>
        <w:t xml:space="preserve"> </w:t>
      </w:r>
      <w:proofErr w:type="spellStart"/>
      <w:r w:rsidRPr="007F7FA5">
        <w:rPr>
          <w:rFonts w:ascii="Times New Roman" w:hAnsi="Times New Roman"/>
          <w:szCs w:val="22"/>
          <w:lang w:eastAsia="zh-CN"/>
        </w:rPr>
        <w:t>T</w:t>
      </w:r>
      <w:r w:rsidRPr="007F7FA5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7F7FA5">
        <w:rPr>
          <w:rFonts w:ascii="Times New Roman" w:hAnsi="Times New Roman"/>
          <w:szCs w:val="22"/>
        </w:rPr>
        <w:t xml:space="preserve"> = 5 </w:t>
      </w:r>
      <w:proofErr w:type="spellStart"/>
      <w:r w:rsidRPr="007F7FA5">
        <w:rPr>
          <w:rFonts w:ascii="Times New Roman" w:hAnsi="Times New Roman"/>
          <w:szCs w:val="22"/>
        </w:rPr>
        <w:t>ms</w:t>
      </w:r>
      <w:proofErr w:type="spellEnd"/>
      <w:r w:rsidR="008E75FD">
        <w:rPr>
          <w:rFonts w:ascii="Times New Roman" w:hAnsi="Times New Roman"/>
          <w:szCs w:val="22"/>
        </w:rPr>
        <w:t xml:space="preserve"> + </w:t>
      </w:r>
      <w:proofErr w:type="spellStart"/>
      <w:r w:rsidR="008E75FD">
        <w:rPr>
          <w:szCs w:val="22"/>
        </w:rPr>
        <w:t>T</w:t>
      </w:r>
      <w:r w:rsidR="008E75FD" w:rsidRPr="00565F08">
        <w:rPr>
          <w:szCs w:val="22"/>
          <w:vertAlign w:val="subscript"/>
        </w:rPr>
        <w:t>SMTC_period</w:t>
      </w:r>
      <w:proofErr w:type="spellEnd"/>
      <w:r w:rsidR="008E75FD">
        <w:rPr>
          <w:rFonts w:ascii="Times New Roman" w:hAnsi="Times New Roman"/>
          <w:szCs w:val="22"/>
        </w:rPr>
        <w:t xml:space="preserve">, where </w:t>
      </w:r>
      <w:proofErr w:type="spellStart"/>
      <w:r w:rsidR="008E75FD">
        <w:rPr>
          <w:szCs w:val="22"/>
        </w:rPr>
        <w:t>T</w:t>
      </w:r>
      <w:r w:rsidR="008E75FD" w:rsidRPr="00565F08">
        <w:rPr>
          <w:szCs w:val="22"/>
          <w:vertAlign w:val="subscript"/>
        </w:rPr>
        <w:t>SMTC_period</w:t>
      </w:r>
      <w:proofErr w:type="spellEnd"/>
      <w:r w:rsidR="008E75FD">
        <w:rPr>
          <w:rFonts w:ascii="Times New Roman" w:hAnsi="Times New Roman"/>
          <w:szCs w:val="22"/>
        </w:rPr>
        <w:t xml:space="preserve"> is the SMTC periodicity.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4A1C6E30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>In this paper we have analysed</w:t>
      </w:r>
      <w:r w:rsidR="00126681">
        <w:rPr>
          <w:sz w:val="22"/>
          <w:szCs w:val="22"/>
        </w:rPr>
        <w:t xml:space="preserve"> the </w:t>
      </w:r>
      <w:r w:rsidR="00E178E0">
        <w:rPr>
          <w:sz w:val="22"/>
          <w:szCs w:val="22"/>
        </w:rPr>
        <w:t>BWP switching delay requirements for RRC based BWP switching</w:t>
      </w:r>
      <w:r w:rsidR="00C4375E" w:rsidRPr="00990C15">
        <w:rPr>
          <w:sz w:val="22"/>
          <w:szCs w:val="22"/>
        </w:rPr>
        <w:t xml:space="preserve">. </w:t>
      </w:r>
      <w:r w:rsidR="00E86FF9">
        <w:rPr>
          <w:sz w:val="22"/>
          <w:szCs w:val="22"/>
        </w:rPr>
        <w:t xml:space="preserve">The following </w:t>
      </w:r>
      <w:r w:rsidR="00830921">
        <w:rPr>
          <w:sz w:val="22"/>
          <w:szCs w:val="22"/>
        </w:rPr>
        <w:t>are the main proposals</w:t>
      </w:r>
      <w:r w:rsidR="00A73BEC" w:rsidRPr="00990C15">
        <w:rPr>
          <w:sz w:val="22"/>
          <w:szCs w:val="22"/>
        </w:rPr>
        <w:t>:</w:t>
      </w:r>
    </w:p>
    <w:p w14:paraId="52A5BF59" w14:textId="77777777" w:rsidR="00E178E0" w:rsidRDefault="00E178E0" w:rsidP="00E178E0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7F7FA5">
        <w:rPr>
          <w:rFonts w:ascii="Times New Roman" w:hAnsi="Times New Roman"/>
          <w:b/>
          <w:szCs w:val="22"/>
        </w:rPr>
        <w:t>Proposal # 1</w:t>
      </w:r>
      <w:r w:rsidRPr="007F7FA5">
        <w:rPr>
          <w:rFonts w:ascii="Times New Roman" w:hAnsi="Times New Roman"/>
          <w:szCs w:val="22"/>
        </w:rPr>
        <w:t>: If the carrier BW of the SCS before the BWP switching at least partially overlaps with the carrier BW of the SCS after the BWP switching</w:t>
      </w:r>
      <w:r>
        <w:rPr>
          <w:rFonts w:ascii="Times New Roman" w:hAnsi="Times New Roman"/>
          <w:szCs w:val="22"/>
        </w:rPr>
        <w:t xml:space="preserve"> then:</w:t>
      </w:r>
      <w:r w:rsidRPr="007F7FA5">
        <w:rPr>
          <w:rFonts w:ascii="Times New Roman" w:hAnsi="Times New Roman"/>
          <w:szCs w:val="22"/>
          <w:lang w:eastAsia="zh-CN"/>
        </w:rPr>
        <w:t xml:space="preserve"> </w:t>
      </w:r>
      <w:proofErr w:type="spellStart"/>
      <w:r w:rsidRPr="007F7FA5">
        <w:rPr>
          <w:rFonts w:ascii="Times New Roman" w:hAnsi="Times New Roman"/>
          <w:szCs w:val="22"/>
          <w:lang w:eastAsia="zh-CN"/>
        </w:rPr>
        <w:t>T</w:t>
      </w:r>
      <w:r w:rsidRPr="007F7FA5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7F7FA5">
        <w:rPr>
          <w:rFonts w:ascii="Times New Roman" w:hAnsi="Times New Roman"/>
          <w:szCs w:val="22"/>
        </w:rPr>
        <w:t xml:space="preserve"> = 5 </w:t>
      </w:r>
      <w:proofErr w:type="spellStart"/>
      <w:r w:rsidRPr="007F7FA5">
        <w:rPr>
          <w:rFonts w:ascii="Times New Roman" w:hAnsi="Times New Roman"/>
          <w:szCs w:val="22"/>
        </w:rPr>
        <w:t>ms</w:t>
      </w:r>
      <w:r>
        <w:rPr>
          <w:rFonts w:ascii="Times New Roman" w:hAnsi="Times New Roman"/>
          <w:szCs w:val="22"/>
        </w:rPr>
        <w:t>.</w:t>
      </w:r>
      <w:proofErr w:type="spellEnd"/>
    </w:p>
    <w:p w14:paraId="4505DBA5" w14:textId="74892028" w:rsidR="00E178E0" w:rsidRPr="00E178E0" w:rsidRDefault="00E178E0" w:rsidP="00E178E0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7F7FA5">
        <w:rPr>
          <w:rFonts w:ascii="Times New Roman" w:hAnsi="Times New Roman"/>
          <w:b/>
          <w:szCs w:val="22"/>
        </w:rPr>
        <w:t xml:space="preserve">Proposal # </w:t>
      </w:r>
      <w:r>
        <w:rPr>
          <w:rFonts w:ascii="Times New Roman" w:hAnsi="Times New Roman"/>
          <w:b/>
          <w:szCs w:val="22"/>
        </w:rPr>
        <w:t>2</w:t>
      </w:r>
      <w:r w:rsidRPr="007F7FA5">
        <w:rPr>
          <w:rFonts w:ascii="Times New Roman" w:hAnsi="Times New Roman"/>
          <w:szCs w:val="22"/>
        </w:rPr>
        <w:t xml:space="preserve">: If the carrier BW of the SCS before the BWP switching </w:t>
      </w:r>
      <w:r>
        <w:rPr>
          <w:rFonts w:ascii="Times New Roman" w:hAnsi="Times New Roman"/>
          <w:szCs w:val="22"/>
        </w:rPr>
        <w:t>does not</w:t>
      </w:r>
      <w:r w:rsidRPr="007F7FA5">
        <w:rPr>
          <w:rFonts w:ascii="Times New Roman" w:hAnsi="Times New Roman"/>
          <w:szCs w:val="22"/>
        </w:rPr>
        <w:t xml:space="preserve"> overlap with the carrier BW of the SCS after the BWP switching</w:t>
      </w:r>
      <w:r>
        <w:rPr>
          <w:rFonts w:ascii="Times New Roman" w:hAnsi="Times New Roman"/>
          <w:szCs w:val="22"/>
        </w:rPr>
        <w:t xml:space="preserve"> then:</w:t>
      </w:r>
      <w:r w:rsidRPr="007F7FA5">
        <w:rPr>
          <w:rFonts w:ascii="Times New Roman" w:hAnsi="Times New Roman"/>
          <w:szCs w:val="22"/>
          <w:lang w:eastAsia="zh-CN"/>
        </w:rPr>
        <w:t xml:space="preserve"> </w:t>
      </w:r>
      <w:proofErr w:type="spellStart"/>
      <w:r w:rsidRPr="007F7FA5">
        <w:rPr>
          <w:rFonts w:ascii="Times New Roman" w:hAnsi="Times New Roman"/>
          <w:szCs w:val="22"/>
          <w:lang w:eastAsia="zh-CN"/>
        </w:rPr>
        <w:t>T</w:t>
      </w:r>
      <w:r w:rsidRPr="007F7FA5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7F7FA5">
        <w:rPr>
          <w:rFonts w:ascii="Times New Roman" w:hAnsi="Times New Roman"/>
          <w:szCs w:val="22"/>
        </w:rPr>
        <w:t xml:space="preserve"> = 5 </w:t>
      </w:r>
      <w:proofErr w:type="spellStart"/>
      <w:r w:rsidRPr="007F7FA5">
        <w:rPr>
          <w:rFonts w:ascii="Times New Roman" w:hAnsi="Times New Roman"/>
          <w:szCs w:val="22"/>
        </w:rPr>
        <w:t>ms</w:t>
      </w:r>
      <w:proofErr w:type="spellEnd"/>
      <w:r>
        <w:rPr>
          <w:rFonts w:ascii="Times New Roman" w:hAnsi="Times New Roman"/>
          <w:szCs w:val="22"/>
        </w:rPr>
        <w:t xml:space="preserve"> + </w:t>
      </w:r>
      <w:proofErr w:type="spellStart"/>
      <w:r>
        <w:rPr>
          <w:szCs w:val="22"/>
        </w:rPr>
        <w:t>T</w:t>
      </w:r>
      <w:r w:rsidRPr="00565F08">
        <w:rPr>
          <w:szCs w:val="22"/>
          <w:vertAlign w:val="subscript"/>
        </w:rPr>
        <w:t>SMTC_period</w:t>
      </w:r>
      <w:proofErr w:type="spellEnd"/>
      <w:r>
        <w:rPr>
          <w:rFonts w:ascii="Times New Roman" w:hAnsi="Times New Roman"/>
          <w:szCs w:val="22"/>
        </w:rPr>
        <w:t xml:space="preserve">, where </w:t>
      </w:r>
      <w:proofErr w:type="spellStart"/>
      <w:r>
        <w:rPr>
          <w:szCs w:val="22"/>
        </w:rPr>
        <w:t>T</w:t>
      </w:r>
      <w:r w:rsidRPr="00565F08">
        <w:rPr>
          <w:szCs w:val="22"/>
          <w:vertAlign w:val="subscript"/>
        </w:rPr>
        <w:t>SMTC_period</w:t>
      </w:r>
      <w:proofErr w:type="spellEnd"/>
      <w:r>
        <w:rPr>
          <w:rFonts w:ascii="Times New Roman" w:hAnsi="Times New Roman"/>
          <w:szCs w:val="22"/>
        </w:rPr>
        <w:t xml:space="preserve"> is the SMTC periodicity.</w:t>
      </w:r>
    </w:p>
    <w:p w14:paraId="73CE0BC1" w14:textId="5F2BF6E0" w:rsidR="00AF133A" w:rsidRPr="00E178E0" w:rsidRDefault="00AF133A" w:rsidP="00AF133A">
      <w:pPr>
        <w:spacing w:before="240" w:after="0"/>
        <w:rPr>
          <w:sz w:val="22"/>
          <w:szCs w:val="22"/>
          <w:lang w:val="en-US"/>
        </w:rPr>
      </w:pPr>
      <w:r w:rsidRPr="00E178E0">
        <w:rPr>
          <w:sz w:val="22"/>
          <w:szCs w:val="22"/>
          <w:lang w:val="en-US"/>
        </w:rPr>
        <w:t>A CR to introduce requirements based on the above proposals is provided in [</w:t>
      </w:r>
      <w:r w:rsidR="00E178E0">
        <w:rPr>
          <w:sz w:val="22"/>
          <w:szCs w:val="22"/>
          <w:lang w:val="en-US"/>
        </w:rPr>
        <w:t>8</w:t>
      </w:r>
      <w:r w:rsidRPr="00E178E0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05E188C1" w14:textId="29ADAC03" w:rsidR="006130A0" w:rsidRDefault="006130A0" w:rsidP="006130A0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6130A0">
        <w:rPr>
          <w:lang w:val="en-US"/>
        </w:rPr>
        <w:t>R4-1816689</w:t>
      </w:r>
      <w:r w:rsidR="001550D1">
        <w:rPr>
          <w:lang w:val="en-US"/>
        </w:rPr>
        <w:t xml:space="preserve">, </w:t>
      </w:r>
      <w:r w:rsidRPr="006130A0">
        <w:rPr>
          <w:lang w:val="en-US"/>
        </w:rPr>
        <w:t>WF on RRC and MAC based BWP switching</w:t>
      </w:r>
      <w:r w:rsidR="001550D1">
        <w:rPr>
          <w:lang w:val="en-US"/>
        </w:rPr>
        <w:t xml:space="preserve">, </w:t>
      </w:r>
      <w:r w:rsidR="001550D1" w:rsidRPr="001550D1">
        <w:rPr>
          <w:lang w:val="en-US"/>
        </w:rPr>
        <w:t xml:space="preserve">Nokia, Nokia Shanghai Bell, </w:t>
      </w:r>
      <w:proofErr w:type="spellStart"/>
      <w:r w:rsidR="001550D1" w:rsidRPr="001550D1">
        <w:rPr>
          <w:lang w:val="en-US"/>
        </w:rPr>
        <w:t>Mediatek</w:t>
      </w:r>
      <w:proofErr w:type="spellEnd"/>
    </w:p>
    <w:p w14:paraId="38035081" w14:textId="0E32F18C" w:rsidR="00A10B53" w:rsidRPr="00A10B53" w:rsidRDefault="00A10B53" w:rsidP="00A10B53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6130A0">
        <w:rPr>
          <w:lang w:val="en-US"/>
        </w:rPr>
        <w:t>R4-1814147</w:t>
      </w:r>
      <w:r w:rsidR="001418A7">
        <w:rPr>
          <w:lang w:val="en-US"/>
        </w:rPr>
        <w:t xml:space="preserve">, </w:t>
      </w:r>
      <w:r w:rsidRPr="006130A0">
        <w:rPr>
          <w:lang w:val="en-US"/>
        </w:rPr>
        <w:t>WF on UE behavior and network configuration without SCS restriction</w:t>
      </w:r>
      <w:r w:rsidR="009040CD">
        <w:rPr>
          <w:lang w:val="en-US"/>
        </w:rPr>
        <w:t xml:space="preserve">, </w:t>
      </w:r>
      <w:r w:rsidR="009040CD" w:rsidRPr="009040CD">
        <w:rPr>
          <w:lang w:val="en-US"/>
        </w:rPr>
        <w:t>Qualcomm, Huawei</w:t>
      </w:r>
    </w:p>
    <w:p w14:paraId="13840265" w14:textId="77777777" w:rsidR="00A95771" w:rsidRPr="00A95771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R4-1900516</w:t>
      </w:r>
      <w:r w:rsidRPr="00A95771">
        <w:rPr>
          <w:lang w:val="en-US"/>
        </w:rPr>
        <w:tab/>
        <w:t xml:space="preserve">Remaining issue on BWP switch delay, MediaTek </w:t>
      </w:r>
      <w:proofErr w:type="spellStart"/>
      <w:r w:rsidRPr="00A95771">
        <w:rPr>
          <w:lang w:val="en-US"/>
        </w:rPr>
        <w:t>inc.</w:t>
      </w:r>
      <w:proofErr w:type="spellEnd"/>
    </w:p>
    <w:p w14:paraId="4A5C9749" w14:textId="77777777" w:rsidR="00A95771" w:rsidRPr="00A95771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R4-1900746</w:t>
      </w:r>
      <w:r w:rsidRPr="00A95771">
        <w:rPr>
          <w:lang w:val="en-US"/>
        </w:rPr>
        <w:tab/>
        <w:t>RRC based BWP Switching Delay, NEC</w:t>
      </w:r>
    </w:p>
    <w:p w14:paraId="5D24A701" w14:textId="77777777" w:rsidR="00A95771" w:rsidRPr="00A95771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R4-1901287</w:t>
      </w:r>
      <w:r w:rsidRPr="00A95771">
        <w:rPr>
          <w:lang w:val="en-US"/>
        </w:rPr>
        <w:tab/>
        <w:t>On RRC- and MAC-based BWP switch requirements, Nokia</w:t>
      </w:r>
    </w:p>
    <w:p w14:paraId="6227C93F" w14:textId="77777777" w:rsidR="00A95771" w:rsidRPr="00A95771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R4-1900376</w:t>
      </w:r>
      <w:r w:rsidRPr="00A95771">
        <w:rPr>
          <w:lang w:val="en-US"/>
        </w:rPr>
        <w:tab/>
        <w:t>On RRC based BWP switching delay, Intel Corporation</w:t>
      </w:r>
    </w:p>
    <w:p w14:paraId="70A75C3B" w14:textId="2B6067B4" w:rsidR="006A325C" w:rsidRPr="006130A0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R4-1901871</w:t>
      </w:r>
      <w:r w:rsidRPr="00A95771">
        <w:rPr>
          <w:lang w:val="en-US"/>
        </w:rPr>
        <w:tab/>
        <w:t xml:space="preserve">RRC based BWP </w:t>
      </w:r>
      <w:proofErr w:type="spellStart"/>
      <w:r w:rsidRPr="00A95771">
        <w:rPr>
          <w:lang w:val="en-US"/>
        </w:rPr>
        <w:t>swtich</w:t>
      </w:r>
      <w:proofErr w:type="spellEnd"/>
      <w:r w:rsidRPr="00A95771">
        <w:rPr>
          <w:lang w:val="en-US"/>
        </w:rPr>
        <w:t xml:space="preserve"> time, Qualcomm Incorporated</w:t>
      </w:r>
    </w:p>
    <w:p w14:paraId="48AB085F" w14:textId="4CB04973" w:rsidR="009F6EF2" w:rsidRPr="009F6EF2" w:rsidRDefault="009F6EF2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FA3693">
        <w:rPr>
          <w:lang w:val="en-US"/>
        </w:rPr>
        <w:t>04347</w:t>
      </w:r>
      <w:bookmarkStart w:id="3" w:name="_GoBack"/>
      <w:bookmarkEnd w:id="3"/>
      <w:r w:rsidRPr="008D3C52">
        <w:rPr>
          <w:lang w:val="en-US"/>
        </w:rPr>
        <w:t xml:space="preserve">, </w:t>
      </w:r>
      <w:r w:rsidR="006D52AE" w:rsidRPr="006D52AE">
        <w:rPr>
          <w:lang w:val="en-US"/>
        </w:rPr>
        <w:t>Section 8.6.3: RRC based BWP switching delay requirement</w:t>
      </w:r>
      <w:r w:rsidRPr="008D3C52">
        <w:rPr>
          <w:lang w:val="en-US"/>
        </w:rPr>
        <w:t>, Ericsson.</w:t>
      </w:r>
    </w:p>
    <w:sectPr w:rsidR="009F6EF2" w:rsidRPr="009F6EF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6C269" w14:textId="77777777" w:rsidR="00386A4B" w:rsidRDefault="00386A4B">
      <w:r>
        <w:separator/>
      </w:r>
    </w:p>
  </w:endnote>
  <w:endnote w:type="continuationSeparator" w:id="0">
    <w:p w14:paraId="028D23FE" w14:textId="77777777" w:rsidR="00386A4B" w:rsidRDefault="0038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ACAA8" w14:textId="77777777" w:rsidR="00386A4B" w:rsidRDefault="00386A4B">
      <w:r>
        <w:separator/>
      </w:r>
    </w:p>
  </w:footnote>
  <w:footnote w:type="continuationSeparator" w:id="0">
    <w:p w14:paraId="5F8D7CBA" w14:textId="77777777" w:rsidR="00386A4B" w:rsidRDefault="0038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0"/>
  </w:num>
  <w:num w:numId="7">
    <w:abstractNumId w:val="20"/>
  </w:num>
  <w:num w:numId="8">
    <w:abstractNumId w:val="18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8"/>
  </w:num>
  <w:num w:numId="14">
    <w:abstractNumId w:val="31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29"/>
  </w:num>
  <w:num w:numId="26">
    <w:abstractNumId w:val="11"/>
  </w:num>
  <w:num w:numId="27">
    <w:abstractNumId w:val="12"/>
  </w:num>
  <w:num w:numId="28">
    <w:abstractNumId w:val="26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17B0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6422"/>
    <w:rsid w:val="00136C3B"/>
    <w:rsid w:val="00136FAC"/>
    <w:rsid w:val="001403A2"/>
    <w:rsid w:val="00141163"/>
    <w:rsid w:val="001418A7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2589"/>
    <w:rsid w:val="001A29A5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A12"/>
    <w:rsid w:val="002212C3"/>
    <w:rsid w:val="00223A1B"/>
    <w:rsid w:val="00225F04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CC8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642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42DE"/>
    <w:rsid w:val="00604BA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75FD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BA2"/>
    <w:rsid w:val="00935F80"/>
    <w:rsid w:val="0093736D"/>
    <w:rsid w:val="00941C8B"/>
    <w:rsid w:val="009430FF"/>
    <w:rsid w:val="00943F8B"/>
    <w:rsid w:val="00944CBC"/>
    <w:rsid w:val="00945761"/>
    <w:rsid w:val="00945BED"/>
    <w:rsid w:val="009460DD"/>
    <w:rsid w:val="00946149"/>
    <w:rsid w:val="00951008"/>
    <w:rsid w:val="00951332"/>
    <w:rsid w:val="009519B8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789F"/>
    <w:rsid w:val="00A10B53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F94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3400"/>
    <w:rsid w:val="00BF37C1"/>
    <w:rsid w:val="00BF5659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73DC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2360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45C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0D30-C009-4AA7-90CF-5853E95D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785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48</cp:revision>
  <cp:lastPrinted>1899-12-31T23:00:00Z</cp:lastPrinted>
  <dcterms:created xsi:type="dcterms:W3CDTF">2019-04-01T14:24:00Z</dcterms:created>
  <dcterms:modified xsi:type="dcterms:W3CDTF">2019-04-01T17:22:00Z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